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 w:bidi="ar"/>
        </w:rPr>
        <w:t>附件：玉溪市红塔区中心城区道路新增交通技术电子监控设备明细表</w:t>
      </w:r>
    </w:p>
    <w:tbl>
      <w:tblPr>
        <w:tblStyle w:val="28"/>
        <w:tblW w:w="138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393"/>
        <w:gridCol w:w="2357"/>
        <w:gridCol w:w="327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设置地点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监测时段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东风路与腾霄路交叉口东向西方向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东风路与腾霄路交叉口南向北方向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东风路与腾霄路交叉口西向东方向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东风路与腾霄路交叉口北向南方向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东风路与秀山路交叉口东向西方向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东风路与秀山路交叉口南向北方向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东风路与秀山路交叉口西向东方向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东风路与秀山路交叉口北向南方向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东风路与南祥路交叉口东向西方向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东风路与南祥路交叉口南向北方向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东风路与南祥路交叉口西向东方向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东风路与南祥路交叉口北向南方向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抚仙路与龙潭路交叉口东向西方向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抚仙路与龙潭路交叉口南向北方向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抚仙路与龙潭路交叉口西向东方向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抚仙路与龙潭路交叉口北向南方向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抚仙路与凤凰路交叉口北向南方向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南北大街与聂耳路交叉口西向东方向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抚仙路与南祥路交叉口东向西方向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抚仙路与南祥路交叉口南向北方向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抚仙路与南祥路交叉口西向东方向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抚仙路与南祥路交叉口北向南方向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珊瑚路与彩虹路交叉口北向南方向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抚仙路与友谊路交叉口东向西方向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抚仙路与友谊路交叉口南向北方向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抚仙路与友谊路交叉口西向东方向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抚仙路与友谊路交叉口北向南方向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东风路与腾霄路交叉口南方向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东风路与腾霄路交叉口北方向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东风路与南祥路交叉口东方向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东风路与南祥路交叉口西方向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抚仙路与龙潭路交叉口东方向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抚仙路与龙潭路交叉口南方向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抚仙路与龙潭路交叉口西方向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抚仙路与龙潭路交叉口北方向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抚仙路与凤凰路交叉口北方向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抚仙路与南祥路交叉口东方向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抚仙路与南祥路交叉口南方向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抚仙路与南祥路交叉口西方向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抚仙路与南祥路交叉口北方向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南北大街与许家湾路北向南方向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南北大街与许家湾路南向北方向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南北大街与人民路南向北方向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凤凰路与菜园街西向东方向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红塔大道与东风路由西向东方向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东风路与气象路由北向南方向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东风路与气象路由南向北方向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东风路与上村街向北90米北向南方向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东风路与玉兴路向南100米南向北方向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东风路与许家湾路北向南方向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抚仙路与红塔大道交叉口向北200米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红塔大道与古窑路交叉口向东460米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 w:bidi="ar"/>
        </w:rPr>
      </w:pPr>
    </w:p>
    <w:sectPr>
      <w:pgSz w:w="16838" w:h="11906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52D22"/>
    <w:rsid w:val="245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3F4" w:themeColor="accent1" w:themeTint="32" w:fill="DBE3F4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3F4" w:themeColor="accent1" w:themeTint="32" w:fill="DBE3F4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band1Vert">
      <w:tblPr>
        <w:tblLayout w:type="fixed"/>
      </w:tblPr>
      <w:tcPr>
        <w:shd w:val="clear" w:color="ABBFE7" w:themeColor="accent1" w:themeTint="75" w:fill="ABBFE7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BBFE7" w:themeColor="accent1" w:themeTint="75" w:fill="ABBFE7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band1Vert">
      <w:tblPr>
        <w:tblLayout w:type="fixed"/>
      </w:tblPr>
      <w:tcPr>
        <w:shd w:val="clear" w:color="F7C59F" w:themeColor="accent2" w:themeTint="75" w:fill="F7C59F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7C59F" w:themeColor="accent2" w:themeTint="75" w:fill="F7C59F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band1Vert">
      <w:tblPr>
        <w:tblLayout w:type="fixed"/>
      </w:tblPr>
      <w:tcPr>
        <w:shd w:val="clear" w:color="FDE185" w:themeColor="accent3" w:themeTint="75" w:fill="FDE185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DE185" w:themeColor="accent3" w:themeTint="75" w:fill="FDE185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band1Vert">
      <w:tblPr>
        <w:tblLayout w:type="fixed"/>
      </w:tblPr>
      <w:tcPr>
        <w:shd w:val="clear" w:color="BFE0A8" w:themeColor="accent4" w:themeTint="75" w:fill="BFE0A8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FE0A8" w:themeColor="accent4" w:themeTint="75" w:fill="BFE0A8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band1Vert">
      <w:tblPr>
        <w:tblLayout w:type="fixed"/>
      </w:tblPr>
      <w:tcPr>
        <w:shd w:val="clear" w:color="9BE6E0" w:themeColor="accent5" w:themeTint="75" w:fill="9BE6E0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9BE6E0" w:themeColor="accent5" w:themeTint="75" w:fill="9BE6E0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band1Vert">
      <w:tblPr>
        <w:tblLayout w:type="fixed"/>
      </w:tblPr>
      <w:tcPr>
        <w:shd w:val="clear" w:color="F3ACB5" w:themeColor="accent6" w:themeTint="75" w:fill="F3ACB5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3ACB5" w:themeColor="accent6" w:themeTint="75" w:fill="F3ACB5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  <w:tblLayout w:type="fixed"/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Layout w:type="fixed"/>
    </w:tblPr>
    <w:tblStylePr w:type="firstRow">
      <w:rPr>
        <w:b/>
        <w:color w:val="1C6F68" w:themeColor="accent5" w:themeShade="94"/>
      </w:rPr>
      <w:tblPr>
        <w:tblLayout w:type="fixed"/>
      </w:tbl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>
        <w:tblLayout w:type="fixed"/>
      </w:tblPr>
    </w:tblStylePr>
    <w:tblStylePr w:type="firstCol">
      <w:rPr>
        <w:b/>
        <w:color w:val="1C6F68" w:themeColor="accent5" w:themeShade="94"/>
      </w:rPr>
      <w:tblPr>
        <w:tblLayout w:type="fixed"/>
      </w:tblPr>
    </w:tblStylePr>
    <w:tblStylePr w:type="lastCol">
      <w:rPr>
        <w:b/>
        <w:color w:val="1C6F6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1C6F68" w:themeColor="accent5" w:themeShade="94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Layout w:type="fixed"/>
    </w:tblPr>
    <w:tblStylePr w:type="firstRow">
      <w:rPr>
        <w:b/>
        <w:color w:val="1C6F68" w:themeColor="accent5" w:themeShade="94"/>
      </w:rPr>
      <w:tblPr>
        <w:tblLayout w:type="fixed"/>
      </w:tbl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>
        <w:tblLayout w:type="fixed"/>
      </w:tblPr>
    </w:tblStylePr>
    <w:tblStylePr w:type="firstCol">
      <w:rPr>
        <w:b/>
        <w:color w:val="1C6F68" w:themeColor="accent5" w:themeShade="94"/>
      </w:rPr>
      <w:tblPr>
        <w:tblLayout w:type="fixed"/>
      </w:tblPr>
    </w:tblStylePr>
    <w:tblStylePr w:type="lastCol">
      <w:rPr>
        <w:b/>
        <w:color w:val="1C6F6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1C6F68" w:themeColor="accent5" w:themeShade="94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1C6F6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>
        <w:tblLayout w:type="fixed"/>
      </w:tbl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>
        <w:tblLayout w:type="fixed"/>
      </w:tbl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1C6F68" w:themeColor="accent5" w:themeShade="94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9A1626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>
        <w:tblLayout w:type="fixed"/>
      </w:tbl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>
        <w:tblLayout w:type="fixed"/>
      </w:tbl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A1626" w:themeColor="accent6" w:themeShade="94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  <w:tblLayout w:type="fixed"/>
    </w:tblPr>
    <w:tblStylePr w:type="firstRow">
      <w:rPr>
        <w:b/>
        <w:color w:val="23417C" w:themeColor="accent1" w:themeShade="94"/>
      </w:rPr>
      <w:tblPr>
        <w:tblLayout w:type="fixed"/>
      </w:tbl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>
        <w:tblLayout w:type="fixed"/>
      </w:tbl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>
        <w:tblLayout w:type="fixed"/>
      </w:tblPr>
    </w:tblStylePr>
    <w:tblStylePr w:type="lastCol">
      <w:rPr>
        <w:b/>
        <w:color w:val="23417C" w:themeColor="accent1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3417C" w:themeColor="accent1" w:themeShade="94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  <w:tblLayout w:type="fixed"/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  <w:tblLayout w:type="fixed"/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  <w:tblLayout w:type="fixed"/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  <w:tblLayout w:type="fixed"/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  <w:tblLayout w:type="fixed"/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874CB" w:themeColor="accent1" w:sz="4" w:space="0"/>
      </w:tblBorders>
      <w:tblLayout w:type="fixed"/>
    </w:tblPr>
    <w:tblStylePr w:type="firstRow"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3417C" w:themeColor="accent1" w:themeShade="94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874CB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4B483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DD961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ABD78C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CDED6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EF949F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30446;&#24405;\Desktop\&#25919;&#24220;&#32593;%20&#31295;&#20214;\&#29577;&#28330;&#24066;&#32418;&#22612;&#21306;&#20013;&#24515;&#22478;&#21306;&#36947;&#36335;&#26032;&#22686;&#20132;&#36890;&#25216;&#26415;&#30005;&#23376;&#30417;&#25511;&#35774;&#22791;&#26126;&#32454;&#34920;.dot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玉溪市红塔区中心城区道路新增交通技术电子监控设备明细表.dotx</Template>
  <Company>玉溪市直属党政机关单位</Company>
  <Pages>3</Pages>
  <Words>1805</Words>
  <Characters>1855</Characters>
  <TotalTime>0</TotalTime>
  <ScaleCrop>false</ScaleCrop>
  <LinksUpToDate>false</LinksUpToDate>
  <CharactersWithSpaces>1855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2024-10-25T07:06:00Z</dcterms:created>
  <dc:creator>赵书艺</dc:creator>
  <cp:lastModifiedBy>赵书艺</cp:lastModifiedBy>
  <dcterms:modified xsi:type="dcterms:W3CDTF">2024-10-25T07:07:29Z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1E739DBEB9074D43948AB4B82757744A_11</vt:lpwstr>
  </property>
</Properties>
</file>