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lang w:val="en-US" w:eastAsia="zh-CN"/>
        </w:rPr>
        <w:t>2023</w:t>
      </w:r>
      <w:r>
        <w:rPr>
          <w:rFonts w:hint="eastAsia" w:ascii="方正小标宋_GBK" w:hAnsi="方正小标宋_GBK" w:eastAsia="方正小标宋_GBK" w:cs="方正小标宋_GBK"/>
          <w:sz w:val="44"/>
          <w:szCs w:val="44"/>
          <w:lang w:val="en-US" w:eastAsia="zh-CN"/>
        </w:rPr>
        <w:t>年服务群众服务基层服务企业“三服务”清单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850"/>
        <w:gridCol w:w="4601"/>
        <w:gridCol w:w="265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0"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850"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服务事项</w:t>
            </w:r>
          </w:p>
        </w:tc>
        <w:tc>
          <w:tcPr>
            <w:tcW w:w="4601"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具体内容</w:t>
            </w:r>
          </w:p>
        </w:tc>
        <w:tc>
          <w:tcPr>
            <w:tcW w:w="2658"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完成时限</w:t>
            </w:r>
          </w:p>
        </w:tc>
        <w:tc>
          <w:tcPr>
            <w:tcW w:w="2617"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30"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lang w:eastAsia="zh-CN"/>
              </w:rPr>
              <w:t>到</w:t>
            </w:r>
            <w:r>
              <w:rPr>
                <w:rFonts w:hint="default" w:ascii="Times New Roman" w:hAnsi="Times New Roman" w:eastAsia="方正仿宋_GBK" w:cs="Times New Roman"/>
                <w:sz w:val="24"/>
                <w:szCs w:val="24"/>
                <w:lang w:val="en-US" w:eastAsia="zh-CN"/>
              </w:rPr>
              <w:t>云南昆钢耐磨材料科技股份有限公司</w:t>
            </w:r>
            <w:r>
              <w:rPr>
                <w:rFonts w:hint="default" w:ascii="Times New Roman" w:hAnsi="Times New Roman" w:eastAsia="方正仿宋_GBK" w:cs="Times New Roman"/>
                <w:sz w:val="24"/>
                <w:szCs w:val="24"/>
                <w:lang w:eastAsia="zh-CN"/>
              </w:rPr>
              <w:t>，与民营企业</w:t>
            </w:r>
            <w:r>
              <w:rPr>
                <w:rFonts w:hint="default" w:ascii="Times New Roman" w:hAnsi="Times New Roman" w:eastAsia="方正仿宋_GBK" w:cs="Times New Roman"/>
                <w:sz w:val="24"/>
                <w:szCs w:val="24"/>
              </w:rPr>
              <w:t>开展“一对一”法律帮扶</w:t>
            </w:r>
            <w:r>
              <w:rPr>
                <w:rFonts w:hint="default" w:ascii="Times New Roman" w:hAnsi="Times New Roman" w:eastAsia="方正仿宋_GBK" w:cs="Times New Roman"/>
                <w:sz w:val="24"/>
                <w:szCs w:val="24"/>
                <w:lang w:eastAsia="zh-CN"/>
              </w:rPr>
              <w:t>活动。</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lang w:val="en-US" w:eastAsia="zh-CN"/>
              </w:rPr>
              <w:t>全面了解帮扶企业的生存发展状况，掌握企业法治需求、问题困难以及优化我市法治环境的建议。</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2023年9月30日</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230" w:type="dxa"/>
            <w:vAlign w:val="center"/>
          </w:tcPr>
          <w:p>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妥善解决滇中引水二期配套工程红塔干线大营街街道师旗路至大米罗路工程施工影响群众出行和施工进度。</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滇中引水二期配套工程红塔干线大营街街道师旗路至大米罗路工程施工以来，由于该段人员密集，有学校、工厂、社区医院等，工程施</w:t>
            </w:r>
            <w:bookmarkStart w:id="0" w:name="_GoBack"/>
            <w:bookmarkEnd w:id="0"/>
            <w:r>
              <w:rPr>
                <w:rFonts w:hint="default" w:ascii="Times New Roman" w:hAnsi="Times New Roman" w:eastAsia="方正仿宋_GBK" w:cs="Times New Roman"/>
                <w:sz w:val="24"/>
                <w:szCs w:val="24"/>
                <w:lang w:val="en-US" w:eastAsia="zh-CN"/>
              </w:rPr>
              <w:t>工对群众生活出行造成了一定影响，为做好服务群众服务基层服务企业工作，在工程“施工保通方案”中，协调项目业主对村组另外一条便道进行改扩建，保障群众出行和工程顺利施工。</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2023年7月31日</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污染治理和节能减碳专项中央预算内投资政策宣传。</w:t>
            </w:r>
          </w:p>
        </w:tc>
        <w:tc>
          <w:tcPr>
            <w:tcW w:w="4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到江川区、通海县宣传污染治理和节能减碳专项2023年中央预算内投资申报政策，实地了解星云湖、杞麓湖中央预算内投资申报项目情况，梳理2023年星云湖、杞麓湖环境基础设施建设重点任务，形成项目清单。</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2023年6月30日前</w:t>
            </w: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服务指导钢铁企业产能置换升级改造。</w:t>
            </w:r>
          </w:p>
        </w:tc>
        <w:tc>
          <w:tcPr>
            <w:tcW w:w="4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服务指导好云南玉溪玉昆钢铁集团有限公司产能置换升级改造项目发电工程节能审查，了解掌握辖区内钢铁企业发展总体状况、整合重组进展、主要装备变化、产能置换实施进展情况以及未来发展规划，企业近年总体投资状况、对促进“十四五”高质量发展的意见和建议等。</w:t>
            </w:r>
          </w:p>
        </w:tc>
        <w:tc>
          <w:tcPr>
            <w:tcW w:w="26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2023年9月30日前</w:t>
            </w: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为云南玉溪云储粮食储备有限公司建设项目争取政策补助资金。</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积极为省储备粮玉溪直属库建设项目争中央财政预算补助资金支持。</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2023年8月底前</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协调滇中（玉溪）粮食物流产业园水、电、气等配套实施建设工作。</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积极为园区安佑饲料、金钱饲料、滇雪油脂建设项目协调水、电、气等配套实施建设工作。</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2023年12月底前</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为基层向上争取资金</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积极向省发展改革委农经处汇报对接，为县（市、区）争取乡村振兴专项（农村人居环境整治）、重点区域生态保护和修复专项、水安全保障工程专项等中央和省预算内资金的支持，力争2023年争取中央和省预算内资金1.2元。</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2023年12月底前</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全力支持亿纬锂能储能项目发展。</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积极争取省能源局支持玉溪亿纬锂能储能项目建设和储能产品示范运用。</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2023年12月30日</w:t>
            </w:r>
          </w:p>
        </w:tc>
        <w:tc>
          <w:tcPr>
            <w:tcW w:w="2617" w:type="dxa"/>
            <w:vAlign w:val="center"/>
          </w:tcPr>
          <w:p>
            <w:pPr>
              <w:jc w:val="center"/>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支持峨山三峡、他格莫、易门马头村重点光伏项目建设。</w:t>
            </w:r>
          </w:p>
        </w:tc>
        <w:tc>
          <w:tcPr>
            <w:tcW w:w="46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全力服务好项目方加快建设峨山甸中至红塔区送出线路建设。</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2023年8月30日</w:t>
            </w:r>
          </w:p>
        </w:tc>
        <w:tc>
          <w:tcPr>
            <w:tcW w:w="2617" w:type="dxa"/>
            <w:vAlign w:val="center"/>
          </w:tcPr>
          <w:p>
            <w:pPr>
              <w:jc w:val="center"/>
              <w:rPr>
                <w:rFonts w:hint="default" w:ascii="Times New Roman" w:hAnsi="Times New Roman" w:eastAsia="黑体"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mYzYWYxNDMwYmMzMDUxMTg3M2I2N2NmNzMzN2QifQ=="/>
  </w:docVars>
  <w:rsids>
    <w:rsidRoot w:val="FDFF02D0"/>
    <w:rsid w:val="00B9788B"/>
    <w:rsid w:val="1CAB548B"/>
    <w:rsid w:val="1DFEFCCC"/>
    <w:rsid w:val="2B5F3997"/>
    <w:rsid w:val="35A465B3"/>
    <w:rsid w:val="3FFAF84A"/>
    <w:rsid w:val="4BC1489D"/>
    <w:rsid w:val="5CE86703"/>
    <w:rsid w:val="5EC40341"/>
    <w:rsid w:val="BE98BE22"/>
    <w:rsid w:val="FBFEA347"/>
    <w:rsid w:val="FDFF02D0"/>
    <w:rsid w:val="FEADE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spacing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987</Words>
  <Characters>1041</Characters>
  <Lines>0</Lines>
  <Paragraphs>0</Paragraphs>
  <TotalTime>13</TotalTime>
  <ScaleCrop>false</ScaleCrop>
  <LinksUpToDate>false</LinksUpToDate>
  <CharactersWithSpaces>1088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2023-06-17T06:59:00Z</dcterms:created>
  <dc:creator>user</dc:creator>
  <cp:lastModifiedBy>user</cp:lastModifiedBy>
  <cp:lastPrinted>2023-06-20T10:42:00Z</cp:lastPrinted>
  <dcterms:modified xsi:type="dcterms:W3CDTF">2023-09-07T11:09:06Z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34A31E8516AF4F339E1BF22CEC38FA15_13</vt:lpwstr>
  </property>
</Properties>
</file>